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B6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Нарочская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Вилейского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790C" w:rsidRPr="00DB790C" w:rsidRDefault="00DB790C" w:rsidP="00DB790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790C">
        <w:rPr>
          <w:rFonts w:ascii="Times New Roman" w:hAnsi="Times New Roman" w:cs="Times New Roman"/>
          <w:b/>
          <w:sz w:val="56"/>
          <w:szCs w:val="56"/>
        </w:rPr>
        <w:t xml:space="preserve">Методика раннего выявления </w:t>
      </w:r>
      <w:proofErr w:type="spellStart"/>
      <w:r w:rsidRPr="00DB790C">
        <w:rPr>
          <w:rFonts w:ascii="Times New Roman" w:hAnsi="Times New Roman" w:cs="Times New Roman"/>
          <w:b/>
          <w:sz w:val="56"/>
          <w:szCs w:val="56"/>
        </w:rPr>
        <w:t>дислексии</w:t>
      </w:r>
      <w:proofErr w:type="spellEnd"/>
      <w:r w:rsidRPr="00DB790C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B790C">
        <w:rPr>
          <w:rFonts w:ascii="Times New Roman" w:hAnsi="Times New Roman" w:cs="Times New Roman"/>
          <w:b/>
          <w:sz w:val="56"/>
          <w:szCs w:val="56"/>
        </w:rPr>
        <w:t>А.Н.Корнева</w:t>
      </w:r>
      <w:proofErr w:type="spellEnd"/>
    </w:p>
    <w:p w:rsidR="00DB790C" w:rsidRPr="00DB790C" w:rsidRDefault="00DB790C" w:rsidP="00DB790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выступление на методическом объединении</w:t>
      </w: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DB790C" w:rsidRDefault="00DB790C" w:rsidP="00DB790C">
      <w:pPr>
        <w:spacing w:after="0"/>
        <w:ind w:firstLine="567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Е.А.Каптюг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B790C" w:rsidRDefault="00DB790C" w:rsidP="00DB790C">
      <w:pPr>
        <w:spacing w:after="0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</w:t>
      </w: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790C" w:rsidRDefault="00DB790C" w:rsidP="00DB7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г.</w:t>
      </w:r>
    </w:p>
    <w:p w:rsidR="009326A0" w:rsidRPr="009326A0" w:rsidRDefault="009326A0" w:rsidP="009326A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40"/>
          <w:szCs w:val="40"/>
          <w:lang w:eastAsia="ru-RU"/>
        </w:rPr>
      </w:pPr>
      <w:r w:rsidRPr="009326A0">
        <w:rPr>
          <w:rFonts w:ascii="Times New Roman" w:eastAsia="Times New Roman" w:hAnsi="Times New Roman" w:cs="Times New Roman"/>
          <w:spacing w:val="5"/>
          <w:kern w:val="28"/>
          <w:sz w:val="40"/>
          <w:szCs w:val="40"/>
          <w:lang w:eastAsia="ru-RU"/>
        </w:rPr>
        <w:t>Методика</w:t>
      </w:r>
    </w:p>
    <w:p w:rsidR="009326A0" w:rsidRPr="009326A0" w:rsidRDefault="009326A0" w:rsidP="009326A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40"/>
          <w:szCs w:val="40"/>
          <w:lang w:eastAsia="ru-RU"/>
        </w:rPr>
      </w:pPr>
      <w:proofErr w:type="gramStart"/>
      <w:r w:rsidRPr="009326A0">
        <w:rPr>
          <w:rFonts w:ascii="Times New Roman" w:eastAsia="Times New Roman" w:hAnsi="Times New Roman" w:cs="Times New Roman"/>
          <w:spacing w:val="5"/>
          <w:kern w:val="28"/>
          <w:sz w:val="40"/>
          <w:szCs w:val="40"/>
          <w:lang w:eastAsia="ru-RU"/>
        </w:rPr>
        <w:t>раннего  выявления</w:t>
      </w:r>
      <w:proofErr w:type="gramEnd"/>
      <w:r w:rsidRPr="009326A0">
        <w:rPr>
          <w:rFonts w:ascii="Times New Roman" w:eastAsia="Times New Roman" w:hAnsi="Times New Roman" w:cs="Times New Roman"/>
          <w:spacing w:val="5"/>
          <w:kern w:val="28"/>
          <w:sz w:val="40"/>
          <w:szCs w:val="40"/>
          <w:lang w:eastAsia="ru-RU"/>
        </w:rPr>
        <w:t xml:space="preserve">  </w:t>
      </w:r>
      <w:proofErr w:type="spellStart"/>
      <w:r w:rsidRPr="009326A0">
        <w:rPr>
          <w:rFonts w:ascii="Times New Roman" w:eastAsia="Times New Roman" w:hAnsi="Times New Roman" w:cs="Times New Roman"/>
          <w:spacing w:val="5"/>
          <w:kern w:val="28"/>
          <w:sz w:val="40"/>
          <w:szCs w:val="40"/>
          <w:lang w:eastAsia="ru-RU"/>
        </w:rPr>
        <w:t>дислексии</w:t>
      </w:r>
      <w:proofErr w:type="spellEnd"/>
      <w:r w:rsidRPr="009326A0">
        <w:rPr>
          <w:rFonts w:ascii="Times New Roman" w:eastAsia="Times New Roman" w:hAnsi="Times New Roman" w:cs="Times New Roman"/>
          <w:spacing w:val="5"/>
          <w:kern w:val="28"/>
          <w:sz w:val="40"/>
          <w:szCs w:val="40"/>
          <w:lang w:eastAsia="ru-RU"/>
        </w:rPr>
        <w:t xml:space="preserve"> (МРВД)</w:t>
      </w:r>
    </w:p>
    <w:p w:rsidR="009326A0" w:rsidRPr="009326A0" w:rsidRDefault="009326A0" w:rsidP="009326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9326A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Данную методику целесообразно использовать в ходе массовых профилактических осмотров детей 6-8 лет. Обследование с помощью МРВД не требует специального оборудования и занимает около 5-8 мин. Пользование методикой доступно широкому кругу специалистов, участвующих в </w:t>
      </w:r>
      <w:proofErr w:type="spellStart"/>
      <w:r w:rsidRPr="009326A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предшкольной</w:t>
      </w:r>
      <w:proofErr w:type="spellEnd"/>
      <w:r w:rsidRPr="009326A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диспансеризации детей (детские психиатры, невропатологи, педиатры, логопеды).</w:t>
      </w:r>
    </w:p>
    <w:p w:rsidR="009326A0" w:rsidRPr="009326A0" w:rsidRDefault="009326A0" w:rsidP="009326A0">
      <w:pPr>
        <w:tabs>
          <w:tab w:val="left" w:pos="28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 xml:space="preserve"> </w:t>
      </w:r>
      <w:r w:rsidRPr="009326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26A0">
        <w:rPr>
          <w:rFonts w:ascii="Times New Roman" w:hAnsi="Times New Roman" w:cs="Times New Roman"/>
          <w:b/>
          <w:sz w:val="28"/>
          <w:szCs w:val="28"/>
        </w:rPr>
        <w:t>Рядоговорение</w:t>
      </w:r>
      <w:proofErr w:type="spellEnd"/>
      <w:r w:rsidRPr="009326A0">
        <w:rPr>
          <w:rFonts w:ascii="Times New Roman" w:hAnsi="Times New Roman" w:cs="Times New Roman"/>
          <w:b/>
          <w:sz w:val="28"/>
          <w:szCs w:val="28"/>
        </w:rPr>
        <w:t>»  </w:t>
      </w:r>
      <w:r w:rsidRPr="009326A0">
        <w:rPr>
          <w:rFonts w:ascii="Times New Roman" w:hAnsi="Times New Roman" w:cs="Times New Roman"/>
          <w:b/>
          <w:sz w:val="28"/>
          <w:szCs w:val="28"/>
        </w:rPr>
        <w:tab/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9326A0">
        <w:rPr>
          <w:rFonts w:ascii="Times New Roman" w:hAnsi="Times New Roman" w:cs="Times New Roman"/>
          <w:sz w:val="28"/>
          <w:szCs w:val="28"/>
        </w:rPr>
        <w:t xml:space="preserve"> «Перечисли по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порядку  времена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года и (после ответа на этот  вопрос)  дни  недели».  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Допускается  помощь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в виде  наводящих  вопросов  или  подсказки, не  содержащей  порядкового перечисления. 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b/>
          <w:sz w:val="28"/>
          <w:szCs w:val="28"/>
        </w:rPr>
        <w:t>Оценки:</w:t>
      </w:r>
      <w:r w:rsidRPr="009326A0">
        <w:rPr>
          <w:rFonts w:ascii="Times New Roman" w:hAnsi="Times New Roman" w:cs="Times New Roman"/>
          <w:sz w:val="28"/>
          <w:szCs w:val="28"/>
        </w:rPr>
        <w:t xml:space="preserve">  правильно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ответил  на  оба  вопроса- 0 баллов, правильно ответил  на  один  вопрос- 2 балла, не ответил ни на один  вопрос- 3 балла.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9326A0">
        <w:rPr>
          <w:rFonts w:ascii="Times New Roman" w:hAnsi="Times New Roman" w:cs="Times New Roman"/>
          <w:sz w:val="28"/>
          <w:szCs w:val="28"/>
        </w:rPr>
        <w:t xml:space="preserve"> Важнейший фактор </w:t>
      </w:r>
      <w:proofErr w:type="spellStart"/>
      <w:proofErr w:type="gramStart"/>
      <w:r w:rsidRPr="009326A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326A0">
        <w:rPr>
          <w:rFonts w:ascii="Times New Roman" w:hAnsi="Times New Roman" w:cs="Times New Roman"/>
          <w:sz w:val="28"/>
          <w:szCs w:val="28"/>
        </w:rPr>
        <w:t xml:space="preserve">  заключается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в  трудности нахождения исходной точки в пространственной  и  временной  последовательности.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«Ритмы» 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9326A0">
        <w:rPr>
          <w:rFonts w:ascii="Times New Roman" w:hAnsi="Times New Roman" w:cs="Times New Roman"/>
          <w:sz w:val="28"/>
          <w:szCs w:val="28"/>
        </w:rPr>
        <w:t xml:space="preserve"> «Послушай, как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я  постучу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,  и  после  того, как я  закончу, постучи точно так же». После этого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однократно  производится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серия  ударов  по  столу (карандашом  или  палочкой) с  длинными и короткими  интервалами: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Простые  ритмы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- !! !, ! !!, !! ! !, ! ! !!, ! !!!,   если  задание выполнено верно, то  переходят  к  более  сложному, если  допущено больше одной  ошибки, то  прекращают;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sz w:val="28"/>
          <w:szCs w:val="28"/>
        </w:rPr>
        <w:t>Сложные  ритмы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- !!! ! !, ! !! !!, ! !!! !, !! !!! !. Критерии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выполнения  те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же, что и в простых  ритмах.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b/>
          <w:sz w:val="28"/>
          <w:szCs w:val="28"/>
        </w:rPr>
        <w:t>Оценки</w:t>
      </w:r>
      <w:r w:rsidRPr="00932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выполнены оба задания – 0 баллов, выполнены только простые ритмы – 2 балла, не выполнено ни одного задания – 3 балла.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9326A0">
        <w:rPr>
          <w:rFonts w:ascii="Times New Roman" w:hAnsi="Times New Roman" w:cs="Times New Roman"/>
          <w:sz w:val="28"/>
          <w:szCs w:val="28"/>
        </w:rPr>
        <w:t xml:space="preserve">: Дети с </w:t>
      </w:r>
      <w:proofErr w:type="spellStart"/>
      <w:proofErr w:type="gramStart"/>
      <w:r w:rsidRPr="009326A0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9326A0">
        <w:rPr>
          <w:rFonts w:ascii="Times New Roman" w:hAnsi="Times New Roman" w:cs="Times New Roman"/>
          <w:sz w:val="28"/>
          <w:szCs w:val="28"/>
        </w:rPr>
        <w:t xml:space="preserve">  выполняют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это задание с большим  количеством ошибок. У взрослых данный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тест  диагностирует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поражение </w:t>
      </w:r>
      <w:proofErr w:type="spellStart"/>
      <w:r w:rsidRPr="009326A0">
        <w:rPr>
          <w:rFonts w:ascii="Times New Roman" w:hAnsi="Times New Roman" w:cs="Times New Roman"/>
          <w:sz w:val="28"/>
          <w:szCs w:val="28"/>
        </w:rPr>
        <w:t>премоторных</w:t>
      </w:r>
      <w:proofErr w:type="spellEnd"/>
      <w:r w:rsidRPr="009326A0">
        <w:rPr>
          <w:rFonts w:ascii="Times New Roman" w:hAnsi="Times New Roman" w:cs="Times New Roman"/>
          <w:sz w:val="28"/>
          <w:szCs w:val="28"/>
        </w:rPr>
        <w:t xml:space="preserve"> и височных  структур  правого полушария.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b/>
          <w:sz w:val="28"/>
          <w:szCs w:val="28"/>
        </w:rPr>
        <w:t>Тест  «</w:t>
      </w:r>
      <w:proofErr w:type="gramEnd"/>
      <w:r w:rsidRPr="009326A0">
        <w:rPr>
          <w:rFonts w:ascii="Times New Roman" w:hAnsi="Times New Roman" w:cs="Times New Roman"/>
          <w:b/>
          <w:sz w:val="28"/>
          <w:szCs w:val="28"/>
        </w:rPr>
        <w:t>Кулак – ребро – ладонь» 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326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Посмотри  внимательно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на то, что я  сейчас сделаю, и повтори  точно  так же».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Экспериментатор  демонстрирует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ребёнку  трижды подряд  последовательность  из  трёх  движений  руки: ударить кулаком по столу, поставить  ладонь ребром, хлопнуть  ладонью  по  столу. Ребёнок, так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же  как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и экспериментатор, должен трижды без ошибок  воспроизвести  эту последовательность. Если ребёнок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нарушил  последовательность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движений  более одного  раза, нужно  указать, что  допущена ошибка, предоставить ему ещё одну  попытку  (если  ребёнок  воспроизвёл  последовательность из  трёх движений  только   один  раз и после  стимуляции  продолжил её  верно, то  это ошибкой  не считается).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При  явно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ошибочном  воспроизведении  демонстрация  образца    повторяется.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Всего  допускается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не  более 5  демонстраций.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Оценки:</w:t>
      </w:r>
      <w:r w:rsidRPr="009326A0">
        <w:rPr>
          <w:rFonts w:ascii="Times New Roman" w:hAnsi="Times New Roman" w:cs="Times New Roman"/>
          <w:sz w:val="28"/>
          <w:szCs w:val="28"/>
        </w:rPr>
        <w:t xml:space="preserve"> правильное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воспроизведение  с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одной-двух  попыток  после  1-й  демонстрации – 0 баллов;  правильное  воспроизведение после  2-й  демонстрации  или  после  трёх  демонстраций с  1-й  попытки – 2 балла;  правильное  воспроизведение  после   4-й и   5-й демонстраций или после  трёх демонстраций со  2-й  и  более  попыток – 3  балла.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9326A0">
        <w:rPr>
          <w:rFonts w:ascii="Times New Roman" w:hAnsi="Times New Roman" w:cs="Times New Roman"/>
          <w:sz w:val="28"/>
          <w:szCs w:val="28"/>
        </w:rPr>
        <w:t xml:space="preserve">   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>Данный тест чувствителен не только  к    поражению  двигательных  систем (преимущественно  </w:t>
      </w:r>
      <w:proofErr w:type="spellStart"/>
      <w:r w:rsidRPr="009326A0">
        <w:rPr>
          <w:rFonts w:ascii="Times New Roman" w:hAnsi="Times New Roman" w:cs="Times New Roman"/>
          <w:sz w:val="28"/>
          <w:szCs w:val="28"/>
        </w:rPr>
        <w:t>премоторных</w:t>
      </w:r>
      <w:proofErr w:type="spellEnd"/>
      <w:r w:rsidRPr="009326A0">
        <w:rPr>
          <w:rFonts w:ascii="Times New Roman" w:hAnsi="Times New Roman" w:cs="Times New Roman"/>
          <w:sz w:val="28"/>
          <w:szCs w:val="28"/>
        </w:rPr>
        <w:t xml:space="preserve">  их  отделов), но и к  модально  неспецифическому  дефициту  </w:t>
      </w:r>
      <w:proofErr w:type="spellStart"/>
      <w:r w:rsidRPr="009326A0"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 w:rsidRPr="009326A0">
        <w:rPr>
          <w:rFonts w:ascii="Times New Roman" w:hAnsi="Times New Roman" w:cs="Times New Roman"/>
          <w:sz w:val="28"/>
          <w:szCs w:val="28"/>
        </w:rPr>
        <w:t xml:space="preserve">  функций.  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В  первом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случае чаще страдает   переключение  с    одного  движения  на  другое в автоматизированном  режиме:  ребёнок  делает  большие  паузы  между  движениями.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Во  втором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случае дети  путают  последовательность  движений  или  пропускают  некоторые  из  них.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Предположительно  затруднения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в данном  задании  можно  связать с  левополушарной  недостаточностью.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326A0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 w:rsidRPr="009326A0">
        <w:rPr>
          <w:rFonts w:ascii="Times New Roman" w:hAnsi="Times New Roman" w:cs="Times New Roman"/>
          <w:b/>
          <w:sz w:val="28"/>
          <w:szCs w:val="28"/>
        </w:rPr>
        <w:t xml:space="preserve">  «</w:t>
      </w:r>
      <w:proofErr w:type="gramEnd"/>
      <w:r w:rsidRPr="009326A0">
        <w:rPr>
          <w:rFonts w:ascii="Times New Roman" w:hAnsi="Times New Roman" w:cs="Times New Roman"/>
          <w:b/>
          <w:sz w:val="28"/>
          <w:szCs w:val="28"/>
        </w:rPr>
        <w:t>Повторение  цифр»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9326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Сейчас  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назову  тебе  какие-нибудь  несколько  цифр, а ты, как только я закончу  говорить, повтори  их  точно  в  таком  же   порядке.  Внимание!»  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После  этого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экспериментатор  ровным  голосом, не меняя  интонации на  последней  цифре, в ритме  отсчёта  стартового  времени  называет  ряд   из  трёх  цифр (см.  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цифровые  ряды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).  При    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ошибочном  воспроизведении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предъявляется  другой  ряд  трёх  цифр.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При  верном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воспроизведении  переходят  к  ряду  из  4   цифр  и   так  далее  до  ряда  из  5   цифр.  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Экспериментатор  фиксирует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количество   цифр  в  наибольшем  правильно  воспроизведённом  ряду.  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Это  является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предварительной  оценкой  за  первую   половину    задания.  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После  этого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даётся  новая  инструкция:  «Сейчас  я  назову  тебе  ещё  несколько  цифр, и ты  их  будешь  повторять  , но  только  начинай  с  конца,  повторяй  их  в  обратном  порядке. Например: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если  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скажу  1-2, то ты  должен  сказать  2-1»  При  этом  для  наглядности  нужно  поочерёдно  коснуться  пальцем  на  столе  двух  воображаемых  точек:  сначала  слева  направо, затем  справа  налево.  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Тактика  обследования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и фиксирования  результатов  такая  же,  как  в  первой  половине  задания: сначала  предлагаем  ряд  из  двух  цифр, затем  из  трёх  и  т.д.  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Итоговым  результатом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выполнения  всего  задания  является  сумма  предварительных  оценок  за  первую  и   вторую  половину  задания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        Цифровые       ряды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Прямой    счёт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№3                                        3-8-6                                                      6-1-2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№4                                         3-4-1-7                                                  6-1-5-8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№5                                        8-4-2-3-9                                                5-2-1-8-6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sz w:val="28"/>
          <w:szCs w:val="28"/>
        </w:rPr>
        <w:t>Обратный  счёт</w:t>
      </w:r>
      <w:proofErr w:type="gramEnd"/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№2                                        2-5                                                          6-3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№3                                        5-7-4                                                       2-5-9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№4                                        7-2-9-6                                                  8-4-9-3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Оценки:</w:t>
      </w:r>
      <w:r w:rsidRPr="009326A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sz w:val="28"/>
          <w:szCs w:val="28"/>
        </w:rPr>
        <w:t>итоговый  результат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больше  6  - 0  баллов; 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sz w:val="28"/>
          <w:szCs w:val="28"/>
        </w:rPr>
        <w:t>итоговый  результат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равен  6 -  2  балла; 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A0">
        <w:rPr>
          <w:rFonts w:ascii="Times New Roman" w:hAnsi="Times New Roman" w:cs="Times New Roman"/>
          <w:sz w:val="28"/>
          <w:szCs w:val="28"/>
        </w:rPr>
        <w:t>итоговый  результат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  меньше  6  -  3  балла.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«Ориентировка вправо — влево»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1. Простая ориентировка. </w:t>
      </w:r>
      <w:r w:rsidRPr="009326A0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Инструкция:</w:t>
      </w: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«Подними левую руку (начинать надо обязательно с левой), покажи правый глаз, левую ногу». Если задание выполнено, то переходят к следующему, если нет — прекращают.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2. Речевая проба 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Хеда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 Инструкция: «Возьмись левой рукой за правое ухо, правой рукой — за правое ухо, правой рукой — за левое ухо, покажи левой рукой правый глаз».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Оценка: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1) выполнены оба задания — 0 баллов: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2) выполнена только простая ориентировка — 2 балла;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3) не выполнено ни одного задания — 3 балла.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«Составление рассказа по серии картинок»</w:t>
      </w: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Ребенку предъявляется рассказ в 2 картинках (удобен для использования рассказ о курице, цыплятах и самоварной трубе из книги Н. Радлова «Рассказы в картинках»). В рассказе на первой картинке изображены: курица, которая вывела 4 желтых цыплят на прогулку, и лежащая на земле самоварная труба, в которую один из цыплят заглядывает. На второй картинке удивленная курица, оглянувшись, видит, что трое цыплят вылезли из трубы черными, а четвертый, еще желтый, цыпленок заглядывает в нее.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Инструкция:</w:t>
      </w: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«Посмотри! На этих картинках нарисован маленький рассказик. Расскажи: про что здесь нарисовано? Составь рассказ по этим картинкам».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Если ребенок не может самостоятельно составить рассказ или вместо него перечисляет изображенные предметы, то нужно задать наводящие вопросы. После того как ребенок закончил рассказ, задается вопрос: «Объясни: почему цыплята стали черными?» 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Оценки выставляют в два этапа.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 Оценивается качество построения рассказа — связность, полнота изложения, правильность описания, последовательность событий: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а) рассказ составлен самостоятельно, без существенных погрешностей — 0 баллов;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б) рассказ составлен только по наводящим вопросам без грубых погрешностей или самостоятельно, но с грубыми погрешностями (пропущена существенная часть рассказа, нарушена последовательность событий) — 2 балла;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в) вместо рассказа перечисляются изображенные предметы — 3 балла;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г) ребенок без посторонней помощи даже не перечисляет предметы на картинках — 4 балла.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 Оценивается понимание причинно-следственных связей: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а) дано правильное объяснение (испачкались в саже или в краске) — 0 баллов;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б) объяснение неполное («труба — черная») — при этом задается наводящий вопрос: «Что значит черная?», и если удовлетворительного ответа не дано, то оценка — 1 балл;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в) объяснения совсем не было — 2 балла.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Итоговая оценка равна сумме первой и второй оценок. 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Составление окончательного заключения: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 При обследовании детей 6,5-7,5 лет без грубой речевой патологии суммируются следующие 3 оценки: за «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Рядоговорение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», «Повторение цифр» и за тест 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Озерецкого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или «Ритмы» (из этих двух выбирается задание, за которое получена большая оценка). Сумма баллов, превышающая 5, свидетельствует о предрасположенности к 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дислексии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9326A0" w:rsidRPr="009326A0" w:rsidRDefault="009326A0" w:rsidP="009326A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2. При обследовании детей 7,5-8,5 лет с выраженной речевой патологией (полиморфная 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дислалия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общее речевое недоразвитие, 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ринолалия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 суммируются следующие оценки: за «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Рядоговорение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», «Повторение цифр», «Ориентировка в „право — лево"» и «Рассказ по картинкам». Сумма баллов, превышающая 5, свидетельствует о предрасположенности к 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дислексии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6A0" w:rsidRPr="009326A0" w:rsidRDefault="009326A0" w:rsidP="009326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A0" w:rsidRPr="009326A0" w:rsidRDefault="009326A0" w:rsidP="00932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A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326A0" w:rsidRPr="009326A0" w:rsidRDefault="009326A0" w:rsidP="009326A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1. Корнев А.Н. Нарушения чтения и письма у детей: Учебно-методическое пособие. - </w:t>
      </w:r>
      <w:proofErr w:type="gram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СПб.:</w:t>
      </w:r>
      <w:proofErr w:type="gram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МиМ</w:t>
      </w:r>
      <w:proofErr w:type="spellEnd"/>
      <w:r w:rsidRPr="009326A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1997. - 286 с.</w:t>
      </w:r>
    </w:p>
    <w:p w:rsidR="009326A0" w:rsidRPr="009326A0" w:rsidRDefault="009326A0" w:rsidP="009326A0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 xml:space="preserve">2. А.Н.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Корнев  (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см. Корнев А.Н.  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Нарушения  чтения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 xml:space="preserve"> и письма у  детей. </w:t>
      </w:r>
      <w:proofErr w:type="gramStart"/>
      <w:r w:rsidRPr="009326A0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9326A0">
        <w:rPr>
          <w:rFonts w:ascii="Times New Roman" w:hAnsi="Times New Roman" w:cs="Times New Roman"/>
          <w:sz w:val="28"/>
          <w:szCs w:val="28"/>
        </w:rPr>
        <w:t>1997 )</w:t>
      </w:r>
    </w:p>
    <w:p w:rsidR="009326A0" w:rsidRPr="009326A0" w:rsidRDefault="009326A0" w:rsidP="009326A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>А.Н.Корнев</w:t>
      </w:r>
      <w:proofErr w:type="spellEnd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>О.А.Ишимова</w:t>
      </w:r>
      <w:proofErr w:type="spellEnd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Методика диагностики </w:t>
      </w:r>
      <w:proofErr w:type="spellStart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дислексии</w:t>
      </w:r>
      <w:proofErr w:type="spellEnd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детей. Методическое пособие. Изд-во Политехнического университета. С-</w:t>
      </w:r>
      <w:proofErr w:type="gramStart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>Пб.,</w:t>
      </w:r>
      <w:proofErr w:type="gramEnd"/>
      <w:r w:rsidRPr="0093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2010.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A0">
        <w:rPr>
          <w:rFonts w:ascii="Times New Roman" w:hAnsi="Times New Roman" w:cs="Times New Roman"/>
          <w:sz w:val="28"/>
          <w:szCs w:val="28"/>
        </w:rPr>
        <w:t> </w:t>
      </w: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6A0" w:rsidRPr="009326A0" w:rsidRDefault="009326A0" w:rsidP="009326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326A0" w:rsidRPr="009326A0" w:rsidSect="0005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0C"/>
    <w:rsid w:val="00057EB6"/>
    <w:rsid w:val="005A5F9C"/>
    <w:rsid w:val="009326A0"/>
    <w:rsid w:val="00B47744"/>
    <w:rsid w:val="00D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927B-D7AC-4C7A-AD40-4F151FB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Лариса</cp:lastModifiedBy>
  <cp:revision>4</cp:revision>
  <cp:lastPrinted>2020-11-16T07:21:00Z</cp:lastPrinted>
  <dcterms:created xsi:type="dcterms:W3CDTF">2020-11-13T10:04:00Z</dcterms:created>
  <dcterms:modified xsi:type="dcterms:W3CDTF">2020-11-16T07:22:00Z</dcterms:modified>
</cp:coreProperties>
</file>